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MOA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SUPPORT TO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 </w:t>
      </w:r>
      <w:r>
        <w:rPr>
          <w:rFonts w:ascii="Arial" w:hAnsi="Arial" w:cs="Arial"/>
          <w:b/>
          <w:bCs/>
          <w:sz w:val="23"/>
          <w:szCs w:val="23"/>
        </w:rPr>
        <w:t xml:space="preserve">&amp; </w:t>
      </w:r>
      <w:r>
        <w:rPr>
          <w:rFonts w:ascii="Arial" w:hAnsi="Arial" w:cs="Arial"/>
          <w:b/>
          <w:bCs/>
          <w:sz w:val="24"/>
          <w:szCs w:val="24"/>
        </w:rPr>
        <w:t>LOCAL GOVERNMENTS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Memorandum of Agreement (MOA) is intended to serve as a generic model for </w:t>
      </w:r>
      <w:proofErr w:type="gramStart"/>
      <w:r>
        <w:rPr>
          <w:rFonts w:ascii="Times New Roman" w:hAnsi="Times New Roman" w:cs="Times New Roman"/>
          <w:sz w:val="23"/>
          <w:szCs w:val="23"/>
        </w:rPr>
        <w:t>developing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umbrella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MOAs governing support for others work to be provided by the Department of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Army to state and local agencies. This generic MOA may be amended to include supplemental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provisions necessary to reflect details specific to the ORDERING AGENCY or the project.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MOAs must be reviewed by the appropriate Office of Counsel.</w:t>
      </w:r>
    </w:p>
    <w:p w:rsidR="005D269D" w:rsidRDefault="005D26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MEMORANDUM OF AGREEMENT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BETWEEN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[ORDERING AGENCY]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DEPARTMENT OF THE ARMY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I - PURPOSE AND AUTHORITY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Memorandum of Agreement ("MOA'') is entered into by and between the U.S.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 of the Army ("DA") and the [ORDERING AGENCY ("ACRONYM")] ("the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parties") for the purpose of establishing a mutual framework governing the respective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responsibilities of the parties for the provision of DA [insert general description of 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assistance; e.g. construction management assistance, environmental restoration or design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assistance] goods and services. This MOA is entered into pursuant to 31 U.S.C. § 6505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(Intergovernmental Cooperation Act) or 10 U.S.C § 3036(d).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II- SCOPE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Goods and services which the DA may provide under this MOA include [insert detailed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description of scope of DA goods or services, including brief description of [ORDERING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AGENCY] program/work if appropriate], and such other related goods or services as may 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agreed upon in the future.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Nothing in this MOA shall 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construed to require the [ACRONYM] to use the DA or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 the DA to provide any goods or services to the [ACRONYM], except as may be set forth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Support Agreements ("SA(s)").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III-INTERGOVERNMENTAL COMMUNICATIONS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provide for consistent and effective communication between the DA and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[ACRONYM], each party shall appoint a Principal Representative to serve as its central point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contact on matters relating to this MOA. Additional representatives may also be appointed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 as points of contact on SAs.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IV - SUPPORT AGREEMENTS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response to requests from the [ACRONYM] for DA assistance under this MOA,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 and the [ACRONYM] shall conclude mutually agreed upon written SAs. Those SAs must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on either Engineer Form 4914-R or similar document containing the same information 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 of Defense Form 1144. SAs must include: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-a detailed scope of work statement;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-schedules;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-funding arrangements [funding must be received in advance of obligation; OMB Circular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A-34 does not allow for reimbursement];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-the amount of funds required and available to accomplish the scope of work as stated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above; and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-the [ACRONYM]'s fund citation and the date upon which the cited funds expire for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obligation purposes;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[The following must be addressed in each SA, or in this MOA: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-identification of individual project managers;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-identification of types of contracts to be used (if known);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-types and frequencies of reports;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-identification of which party is to be responsible for government-furnished equipment,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 administration, records maintenance, rights to data, software and intellectual property,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contract audits;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-procedures for amending or modifying the SA; and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-such other particulars as are necessary to describe clearly the obligations of the parties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 respect to the requested goods and services.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Goods or services shall be provided under this MOA only after an appropriate SA has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 signed by a representative of each party authorized to execute that SA. Upon signature 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 parties' representative, a SA shall constitute a valid order under [cite statute here]. In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 of conflict between this MOA and a SA, this MOA shall control.]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V -RESPONSIBILITIES OF THE PARTIES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Responsibilities of the Department of the Army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The DA shall provide the [ACRONYM] with goods or services in accordance with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purpose, terms, and conditions of this MOA and with specific requirements set forth in SAs and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implementing arrangements.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The DA shall identify authorized DA representatives to sign SAs.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The DA shall use its best efforts to provide goods or services either by contract or 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in-house effort.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The DA shall provide detailed periodic progress, financial, and other reports to the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[ACRONYM] as agreed to in the SA. Financial reports shall include information on all funds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received</w:t>
      </w:r>
      <w:proofErr w:type="gramEnd"/>
      <w:r>
        <w:rPr>
          <w:rFonts w:ascii="Times New Roman" w:hAnsi="Times New Roman" w:cs="Times New Roman"/>
          <w:sz w:val="23"/>
          <w:szCs w:val="23"/>
        </w:rPr>
        <w:t>, obligated, and expended and on forecast obligations and expenditures.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The DA shall inform the [ACRONYM] of all contracts entered into under each SA.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>
        <w:rPr>
          <w:rFonts w:ascii="Times New Roman" w:hAnsi="Times New Roman" w:cs="Times New Roman"/>
          <w:sz w:val="23"/>
          <w:szCs w:val="23"/>
        </w:rPr>
        <w:t>Responsibilities of the [ORDERING AGENCY]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The [ACRONYM] shall certify, prior to the execution of each SA under this MOA,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 the SA complies with the requirements of OMB Circular A-97 [for orders under 31 U.S.C. §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6505] or ER 1140-1-211 [for orders under 10 U.S.C.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3"/>
          <w:szCs w:val="23"/>
        </w:rPr>
        <w:t>3036(d)].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The [ACRONYM] shall pay all costs associated with the DA's provisions of goods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 under this MOA and shall certify, at the time of signature of a SA, the availability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funds necessary to accomplish that SA.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The [ACRONYM] shall ensure that only authorized [ACRONYM] contracting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 sign SAs.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The [ACRONYM] shall develop draft SAs to include scope of work statements.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The [ACRONYM] shall obtain for the DA all necessary real estate interests and access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all work sites and support facilities, and shall perform all coordination with and obtain any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permits from state and local agencies, as necessary during the execution of each SA.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VI-FUNDING</w:t>
      </w: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2661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[ACRONYM] shall pay all costs associated with the DA's provision of goods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 under this MOA. Funds for the services to be provided by the DA shall be deposited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 escrow account at an approved Depository Bank. Funds will be transferred from the escrow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account and deposited with the US Treasury prior to incurrence of any obligation by the DA.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DA shall request transfer of funds from the Escrow Account to the US Treasury 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sufficient time to ensure that necessary funds are available within the US Treasury in advance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obligations necessary to the provision of services. Established Federal Government accounting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procedures shall be used.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702661">
        <w:rPr>
          <w:rFonts w:ascii="Times New Roman" w:hAnsi="Times New Roman" w:cs="Times New Roman"/>
          <w:sz w:val="23"/>
          <w:szCs w:val="23"/>
        </w:rPr>
        <w:t>If t</w:t>
      </w:r>
      <w:r>
        <w:rPr>
          <w:rFonts w:ascii="Times New Roman" w:hAnsi="Times New Roman" w:cs="Times New Roman"/>
          <w:sz w:val="23"/>
          <w:szCs w:val="23"/>
        </w:rPr>
        <w:t>he DA forecasts its actual costs under a SA to exceed the amount of funds available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 that SA, it shall promptly notify the [ACRONYM] of the amount of additional funds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necessary to complete the work under that SA. The [ACRONYM] shall either provide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additional funds to the DA, require that the scope of work be limited to that which can be paid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 by the then-available funds, or direct termination of the work under that SA.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Within 90 days of completing the work under a SA, the DA shall conduct an accounting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determine the actual costs of the work. Within 30 days of completion of this accounting,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 shall return to the [ACRONYM] any funds advanced in excess of the actual costs as then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known, or the [ACRONYM] shall provide any additional funds necessary to cover the actual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 as then known. Such an accounting shall in no way limit the [ACRONYM]'s duty in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 with Article X to pay for any costs, such as contract claims or other liability, which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 become known after the final accounting.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VII - APPLICABLE LAWS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MOA and all documents and actions pursuant to it shall be governed by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applicable statutes, regulations, directives, and procedures of the United States. Unless otherwise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 by law, all contract work undertaken by the DA shall be governed by DA policies and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procedures.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VIII - CONTRACT CLAIMS AND DISPUTES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 claims and disputes by contractors arising under or relating to contracts awarded by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DA shall be resolved in accordance with Federal law and the terms of the individual contract.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DA shall have dispute resolution authority for these claims. Any contracting officer's final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decision may be appealed by the contractor pursuant to the </w:t>
      </w:r>
      <w:r w:rsidR="00702661">
        <w:rPr>
          <w:rFonts w:ascii="Times New Roman" w:hAnsi="Times New Roman" w:cs="Times New Roman"/>
          <w:sz w:val="23"/>
          <w:szCs w:val="23"/>
        </w:rPr>
        <w:t>Contract Disputes Act of 1978 (</w:t>
      </w:r>
      <w:r>
        <w:rPr>
          <w:rFonts w:ascii="Times New Roman" w:hAnsi="Times New Roman" w:cs="Times New Roman"/>
          <w:sz w:val="23"/>
          <w:szCs w:val="23"/>
        </w:rPr>
        <w:t>41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U.S.C. § 601-613). The Armed Services Board of Contract Appeals (ASBCA) or its successor is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designated as the appropriate board of contract appeals. In lieu of appealing to the ASBCA or its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successor, the contractor may bring an action directly to the United States Court of Federal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Claims.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The DA shall be responsible for handling all litigation involving disputes and appeals,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for coordinating with the Department of Justice as appropriate. The DA shall notify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[ACRONYM] of any such litigation and afford the [ACRONYM] an opportunity to review and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comment on the litigation proceedings and any resulting settlement negotiations.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IX - DISPUTE RESOLUTION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parties agree that, in the event of a dispute between the parties, the [ACRONYM]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the DA shall use their best efforts to resolve that dispute in an informal fashion through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 and communication, or other forms of non-binding alternative dispute resolution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mutually acceptable to the parties. The parties agree that, in the event such measures fail to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resolve the dispute, they shall refer it for resolution to the [entity as may be appropriate].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X - RESPONSIBILITY FOR COSTS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D269D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l</w:t>
      </w:r>
      <w:r w:rsidR="005D269D">
        <w:rPr>
          <w:rFonts w:ascii="Times New Roman" w:hAnsi="Times New Roman" w:cs="Times New Roman"/>
          <w:sz w:val="23"/>
          <w:szCs w:val="23"/>
        </w:rPr>
        <w:t>iability of any kind is imposed on the United States relating to the DA's provision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goods or services under this MOA, the DA will accept accountability for its actions, but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[ACRONYM] shall remain responsible as the program proponent for providing such funds as are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necessary to discharge the liability, and all related costs. This obligation extends to all funds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legally available to discharge this liability, including funds that may be made legally available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through transfer, reprogramming or other means. Should the [ORDERING AGENCY] have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insufficient funds legally available, including funds that may be made legally available through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transfer, reprogramming or other means, they remain responsible for seeking additional funds.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Notwithstanding the above, this MOA does not confer any liability upon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[ACRONYM] for claims payable by the DA under the Federal Torts Claims Act. Provided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further that nothing in this MOA is intended or will be construed to create any rights or remedies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 any third party and no third party in intended to be a beneficiary of this MOA.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XI - PUBLIC INFORMATION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Justification and explanation of the [ACRONYM]'s programs before other agencies,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departments, and offices shall be the responsibility of the [ACRONYM]. The DA may provide,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upon request, any assist</w:t>
      </w:r>
      <w:r>
        <w:rPr>
          <w:rFonts w:ascii="Times New Roman" w:hAnsi="Times New Roman" w:cs="Times New Roman"/>
          <w:sz w:val="23"/>
          <w:szCs w:val="23"/>
        </w:rPr>
        <w:t>ance necessary to support the [</w:t>
      </w:r>
      <w:r w:rsidR="005D269D">
        <w:rPr>
          <w:rFonts w:ascii="Times New Roman" w:hAnsi="Times New Roman" w:cs="Times New Roman"/>
          <w:sz w:val="23"/>
          <w:szCs w:val="23"/>
        </w:rPr>
        <w:t>ACRONYM]'s justification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explanations of the [ACRONYM]'s programs conducted under this MOA. In general,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[ACRONYM] is responsible for all public information. The DA may make public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announcements and respond to all inquiries relating to the ordinary procurement and contract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 xml:space="preserve">award and administration process. The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[</w:t>
      </w:r>
      <w:r>
        <w:rPr>
          <w:rFonts w:ascii="Times New Roman" w:hAnsi="Times New Roman" w:cs="Times New Roman"/>
          <w:sz w:val="23"/>
          <w:szCs w:val="23"/>
        </w:rPr>
        <w:t>A</w:t>
      </w:r>
      <w:r w:rsidR="005D269D">
        <w:rPr>
          <w:rFonts w:ascii="Times New Roman" w:hAnsi="Times New Roman" w:cs="Times New Roman"/>
          <w:sz w:val="23"/>
          <w:szCs w:val="23"/>
        </w:rPr>
        <w:t>CRONYM] or the DA shall make its best efforts 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give the other party advance notice before making any public statement regarding work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contemplated, undertaken, or completed pursuant to SAs under this MOA.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XII - MISCELLANEOUS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Other Relationships or Obligations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MOA shall not affect any pre-existing or independent relationships or obligations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 the [ACRONYM] and the DA.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Survival</w:t>
      </w: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The provisions of this MOA which require performance after the expiration or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termination of this MOA shall remain in force notwithstanding the expiration or termination of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 MOA.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Severability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</w:p>
    <w:p w:rsidR="005D269D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</w:t>
      </w:r>
      <w:r w:rsidR="005D269D">
        <w:rPr>
          <w:rFonts w:ascii="Times New Roman" w:hAnsi="Times New Roman" w:cs="Times New Roman"/>
          <w:sz w:val="23"/>
          <w:szCs w:val="23"/>
        </w:rPr>
        <w:t>any provision of this MOA is determined to be invalid or unenforceable, the remaining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269D">
        <w:rPr>
          <w:rFonts w:ascii="Times New Roman" w:hAnsi="Times New Roman" w:cs="Times New Roman"/>
          <w:sz w:val="23"/>
          <w:szCs w:val="23"/>
        </w:rPr>
        <w:t>provisions shall remain in force and unaffected to the full</w:t>
      </w:r>
      <w:r>
        <w:rPr>
          <w:rFonts w:ascii="Times New Roman" w:hAnsi="Times New Roman" w:cs="Times New Roman"/>
          <w:sz w:val="23"/>
          <w:szCs w:val="23"/>
        </w:rPr>
        <w:t>est extent permitted by law and r</w:t>
      </w:r>
      <w:r w:rsidR="005D269D">
        <w:rPr>
          <w:rFonts w:ascii="Times New Roman" w:hAnsi="Times New Roman" w:cs="Times New Roman"/>
          <w:sz w:val="23"/>
          <w:szCs w:val="23"/>
        </w:rPr>
        <w:t>egulation.</w:t>
      </w:r>
    </w:p>
    <w:p w:rsidR="00702661" w:rsidRDefault="00702661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XIII - AMENDMENT, MODIFICATION AND TERMINATION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MOA may be modified or amended only by written, mutual agreement of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parties. Either party may terminate this MOA by providing written notice to the other party. The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termination shall be effective upon the sixtieth calendar day following notice, unless a later date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set forth. In the event of termination, the [ACRONYM] shall continue to be responsible for all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 incurred by the DA under this MOA and for the costs of closing out or transferring any ongoing</w:t>
      </w:r>
      <w:r w:rsidR="007026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contracts.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ARTICLE XIV -EFFECTIVE DATE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</w:p>
    <w:bookmarkEnd w:id="0"/>
    <w:p w:rsidR="005D269D" w:rsidRDefault="005D269D" w:rsidP="00702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MOA shall become effective when signed by both the [ACRONYM] and the DA.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D269D" w:rsidRDefault="005D269D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[ORDERING AGENCY] </w:t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U.S. Department of the Army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</w:t>
      </w: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2661" w:rsidRDefault="00702661" w:rsidP="005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548" w:rsidRDefault="005D269D" w:rsidP="005D269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DATE: _________</w:t>
      </w:r>
      <w:r w:rsidR="00702661">
        <w:rPr>
          <w:rFonts w:ascii="Times New Roman" w:hAnsi="Times New Roman" w:cs="Times New Roman"/>
          <w:sz w:val="23"/>
          <w:szCs w:val="23"/>
        </w:rPr>
        <w:t>__________________</w:t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</w:r>
      <w:r w:rsidR="00702661">
        <w:rPr>
          <w:rFonts w:ascii="Times New Roman" w:hAnsi="Times New Roman" w:cs="Times New Roman"/>
          <w:sz w:val="23"/>
          <w:szCs w:val="23"/>
        </w:rPr>
        <w:tab/>
        <w:t>DATE: ________________________</w:t>
      </w:r>
    </w:p>
    <w:sectPr w:rsidR="0006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F"/>
    <w:rsid w:val="00061548"/>
    <w:rsid w:val="005D269D"/>
    <w:rsid w:val="00702661"/>
    <w:rsid w:val="00E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5E480-C04C-492C-97F8-D257890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Burke</dc:creator>
  <cp:keywords/>
  <dc:description/>
  <cp:lastModifiedBy>Heather Burke</cp:lastModifiedBy>
  <cp:revision>2</cp:revision>
  <dcterms:created xsi:type="dcterms:W3CDTF">2017-03-14T21:20:00Z</dcterms:created>
  <dcterms:modified xsi:type="dcterms:W3CDTF">2017-03-14T21:36:00Z</dcterms:modified>
</cp:coreProperties>
</file>